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7ECFF" w14:textId="7DC139E2" w:rsidR="003D07E3" w:rsidRPr="00DE1A3A" w:rsidRDefault="00DE1A3A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 w:cstheme="minorBidi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 AOS QUESTIONAMENTOS DA EMPRESA NCT</w:t>
      </w:r>
    </w:p>
    <w:p w14:paraId="5714A9C8" w14:textId="69F46033" w:rsidR="00DE1A3A" w:rsidRDefault="003D07E3" w:rsidP="00DE1A3A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 w:cstheme="minorBidi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 w:cstheme="minorBidi"/>
          <w:color w:val="auto"/>
        </w:rPr>
        <w:t xml:space="preserve"> 1: </w:t>
      </w:r>
    </w:p>
    <w:p w14:paraId="15474D85" w14:textId="6423B594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Resposta:</w:t>
      </w:r>
      <w:r w:rsidRPr="00DE1A3A">
        <w:rPr>
          <w:rFonts w:ascii="Arial Narrow" w:hAnsi="Arial Narrow"/>
          <w:color w:val="auto"/>
        </w:rPr>
        <w:t xml:space="preserve"> Dado o princípio da isonomia, </w:t>
      </w:r>
      <w:r w:rsidRPr="00DE1A3A">
        <w:rPr>
          <w:rFonts w:ascii="Arial Narrow" w:hAnsi="Arial Narrow"/>
          <w:b/>
          <w:bCs/>
          <w:color w:val="auto"/>
        </w:rPr>
        <w:t>não serão aceitas comprovações intempestivas</w:t>
      </w:r>
      <w:r w:rsidRPr="00DE1A3A">
        <w:rPr>
          <w:rFonts w:ascii="Arial Narrow" w:hAnsi="Arial Narrow"/>
          <w:color w:val="auto"/>
        </w:rPr>
        <w:t>. Links de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documentação técnica oficial do fabricante e print </w:t>
      </w:r>
      <w:proofErr w:type="spellStart"/>
      <w:r w:rsidRPr="00DE1A3A">
        <w:rPr>
          <w:rFonts w:ascii="Arial Narrow" w:hAnsi="Arial Narrow"/>
          <w:color w:val="auto"/>
        </w:rPr>
        <w:t>screens</w:t>
      </w:r>
      <w:proofErr w:type="spellEnd"/>
      <w:r w:rsidRPr="00DE1A3A">
        <w:rPr>
          <w:rFonts w:ascii="Arial Narrow" w:hAnsi="Arial Narrow"/>
          <w:color w:val="auto"/>
        </w:rPr>
        <w:t xml:space="preserve"> de funcionalidades serão aceitos para comprovação de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funcionalidades. Cartas do fabricante serão aceitas apenas para ratificação de aderência a padrões </w:t>
      </w:r>
      <w:proofErr w:type="gramStart"/>
      <w:r w:rsidRPr="00DE1A3A">
        <w:rPr>
          <w:rFonts w:ascii="Arial Narrow" w:hAnsi="Arial Narrow"/>
          <w:color w:val="auto"/>
        </w:rPr>
        <w:t>internacionais(</w:t>
      </w:r>
      <w:proofErr w:type="gramEnd"/>
      <w:r w:rsidRPr="00DE1A3A">
        <w:rPr>
          <w:rFonts w:ascii="Arial Narrow" w:hAnsi="Arial Narrow"/>
          <w:color w:val="auto"/>
        </w:rPr>
        <w:t xml:space="preserve">Ex.: ISO, </w:t>
      </w:r>
      <w:proofErr w:type="spellStart"/>
      <w:r w:rsidRPr="00DE1A3A">
        <w:rPr>
          <w:rFonts w:ascii="Arial Narrow" w:hAnsi="Arial Narrow"/>
          <w:color w:val="auto"/>
        </w:rPr>
        <w:t>RHoS</w:t>
      </w:r>
      <w:proofErr w:type="spellEnd"/>
      <w:r w:rsidRPr="00DE1A3A">
        <w:rPr>
          <w:rFonts w:ascii="Arial Narrow" w:hAnsi="Arial Narrow"/>
          <w:color w:val="auto"/>
        </w:rPr>
        <w:t xml:space="preserve">, </w:t>
      </w:r>
      <w:proofErr w:type="spellStart"/>
      <w:r w:rsidRPr="00DE1A3A">
        <w:rPr>
          <w:rFonts w:ascii="Arial Narrow" w:hAnsi="Arial Narrow"/>
          <w:color w:val="auto"/>
        </w:rPr>
        <w:t>etc</w:t>
      </w:r>
      <w:proofErr w:type="spellEnd"/>
      <w:r w:rsidRPr="00DE1A3A">
        <w:rPr>
          <w:rFonts w:ascii="Arial Narrow" w:hAnsi="Arial Narrow"/>
          <w:color w:val="auto"/>
        </w:rPr>
        <w:t>).</w:t>
      </w:r>
    </w:p>
    <w:p w14:paraId="29E5A23D" w14:textId="5F1B640F" w:rsidR="00335CDC" w:rsidRDefault="00335CDC" w:rsidP="00335CDC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 w:cstheme="minorBidi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 w:cstheme="minorBidi"/>
          <w:color w:val="auto"/>
        </w:rPr>
        <w:t xml:space="preserve"> 2: </w:t>
      </w:r>
    </w:p>
    <w:p w14:paraId="770C4047" w14:textId="784C5B24" w:rsidR="00335CDC" w:rsidRDefault="00335CDC" w:rsidP="00335CDC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 w:cstheme="minorBidi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Resposta:</w:t>
      </w:r>
      <w:r w:rsidRPr="00DE1A3A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 xml:space="preserve">´Sim, é necessária a informação de marca, modelo e fabricante, por essa razão, o edital foi retificado para fazer constar essas exigências no item 6 </w:t>
      </w:r>
      <w:r w:rsidRPr="00335CDC">
        <w:rPr>
          <w:rFonts w:ascii="Arial Narrow" w:hAnsi="Arial Narrow"/>
          <w:b/>
          <w:bCs/>
          <w:color w:val="auto"/>
        </w:rPr>
        <w:t>Preenchimento da Proposta</w:t>
      </w:r>
      <w:r>
        <w:rPr>
          <w:rFonts w:ascii="Arial Narrow" w:hAnsi="Arial Narrow"/>
          <w:color w:val="auto"/>
        </w:rPr>
        <w:t>.</w:t>
      </w:r>
    </w:p>
    <w:p w14:paraId="013FAE34" w14:textId="38DA83FE" w:rsidR="00335CDC" w:rsidRPr="00DE1A3A" w:rsidRDefault="00335CDC" w:rsidP="00335CDC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 w:cstheme="minorBidi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 w:cstheme="minorBidi"/>
          <w:color w:val="auto"/>
        </w:rPr>
        <w:t xml:space="preserve"> 3: </w:t>
      </w:r>
    </w:p>
    <w:p w14:paraId="779207AD" w14:textId="2929E39B" w:rsidR="00335CDC" w:rsidRDefault="00335CDC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b/>
          <w:bCs/>
          <w:color w:val="auto"/>
          <w:u w:val="single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Resposta:</w:t>
      </w:r>
      <w:r w:rsidRPr="00DE1A3A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>Não</w:t>
      </w:r>
      <w:r w:rsidR="00681278">
        <w:rPr>
          <w:rFonts w:ascii="Arial Narrow" w:hAnsi="Arial Narrow"/>
          <w:color w:val="auto"/>
        </w:rPr>
        <w:t>, não será exigida a comprovação de revenda autorizada</w:t>
      </w:r>
      <w:r>
        <w:rPr>
          <w:rFonts w:ascii="Arial Narrow" w:hAnsi="Arial Narrow"/>
          <w:color w:val="auto"/>
        </w:rPr>
        <w:t>.</w:t>
      </w:r>
    </w:p>
    <w:p w14:paraId="6B75989E" w14:textId="32067A5F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4:</w:t>
      </w:r>
    </w:p>
    <w:p w14:paraId="196CD32C" w14:textId="124CF800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Está no item 12.3.9 do Termo de Referência</w:t>
      </w:r>
      <w:r w:rsidRPr="00DE1A3A">
        <w:rPr>
          <w:rFonts w:ascii="Arial Narrow" w:hAnsi="Arial Narrow"/>
          <w:color w:val="auto"/>
        </w:rPr>
        <w:t>: "A licitante deverá entregar ao ITI uma planilha em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formato Microsoft Office contendo as especificações verticalizadas do Anexo I (SEI 0443509) e as respectivas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documentações comprobatórias (</w:t>
      </w:r>
      <w:proofErr w:type="spellStart"/>
      <w:r w:rsidRPr="00DE1A3A">
        <w:rPr>
          <w:rFonts w:ascii="Arial Narrow" w:hAnsi="Arial Narrow"/>
          <w:color w:val="auto"/>
        </w:rPr>
        <w:t>whitepapers</w:t>
      </w:r>
      <w:proofErr w:type="spellEnd"/>
      <w:r w:rsidRPr="00DE1A3A">
        <w:rPr>
          <w:rFonts w:ascii="Arial Narrow" w:hAnsi="Arial Narrow"/>
          <w:color w:val="auto"/>
        </w:rPr>
        <w:t>, datasheets, manuais ou carta do fabricante) de atendimento aos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requisitos técnicos das ferramentas ofertadas;". Será exigida para a proposta vencedora.</w:t>
      </w:r>
    </w:p>
    <w:p w14:paraId="7EEDF681" w14:textId="3D9152D9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5: </w:t>
      </w:r>
    </w:p>
    <w:p w14:paraId="0A16A38F" w14:textId="6AA449F4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Parcialmente</w:t>
      </w:r>
      <w:r w:rsidRPr="00DE1A3A">
        <w:rPr>
          <w:rFonts w:ascii="Arial Narrow" w:hAnsi="Arial Narrow"/>
          <w:color w:val="auto"/>
        </w:rPr>
        <w:t xml:space="preserve">. Links de documentação técnica oficial do fabricante e print </w:t>
      </w:r>
      <w:proofErr w:type="spellStart"/>
      <w:r w:rsidRPr="00DE1A3A">
        <w:rPr>
          <w:rFonts w:ascii="Arial Narrow" w:hAnsi="Arial Narrow"/>
          <w:color w:val="auto"/>
        </w:rPr>
        <w:t>screens</w:t>
      </w:r>
      <w:proofErr w:type="spellEnd"/>
      <w:r w:rsidRPr="00DE1A3A">
        <w:rPr>
          <w:rFonts w:ascii="Arial Narrow" w:hAnsi="Arial Narrow"/>
          <w:color w:val="auto"/>
        </w:rPr>
        <w:t xml:space="preserve"> de funcionalidades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serão aceitos para comprovação de funcionalidades. Cartas do fabricante serão aceitas apenas para ratificação de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aderência a padrões internacionais (Ex.: ISO, </w:t>
      </w:r>
      <w:proofErr w:type="spellStart"/>
      <w:r w:rsidRPr="00DE1A3A">
        <w:rPr>
          <w:rFonts w:ascii="Arial Narrow" w:hAnsi="Arial Narrow"/>
          <w:color w:val="auto"/>
        </w:rPr>
        <w:t>RHoS</w:t>
      </w:r>
      <w:proofErr w:type="spellEnd"/>
      <w:r w:rsidRPr="00DE1A3A">
        <w:rPr>
          <w:rFonts w:ascii="Arial Narrow" w:hAnsi="Arial Narrow"/>
          <w:color w:val="auto"/>
        </w:rPr>
        <w:t xml:space="preserve">, </w:t>
      </w:r>
      <w:proofErr w:type="spellStart"/>
      <w:r w:rsidRPr="00DE1A3A">
        <w:rPr>
          <w:rFonts w:ascii="Arial Narrow" w:hAnsi="Arial Narrow"/>
          <w:color w:val="auto"/>
        </w:rPr>
        <w:t>etc</w:t>
      </w:r>
      <w:proofErr w:type="spellEnd"/>
      <w:r w:rsidRPr="00DE1A3A">
        <w:rPr>
          <w:rFonts w:ascii="Arial Narrow" w:hAnsi="Arial Narrow"/>
          <w:color w:val="auto"/>
        </w:rPr>
        <w:t xml:space="preserve">). </w:t>
      </w:r>
      <w:r w:rsidRPr="00DE1A3A">
        <w:rPr>
          <w:rFonts w:ascii="Arial Narrow" w:hAnsi="Arial Narrow"/>
          <w:b/>
          <w:bCs/>
          <w:color w:val="auto"/>
        </w:rPr>
        <w:t>Funcionalidades em Road Maps não serão aceitas</w:t>
      </w:r>
      <w:r w:rsidRPr="00DE1A3A">
        <w:rPr>
          <w:rFonts w:ascii="Arial Narrow" w:hAnsi="Arial Narrow"/>
          <w:color w:val="auto"/>
        </w:rPr>
        <w:t>.</w:t>
      </w:r>
    </w:p>
    <w:p w14:paraId="218D5F9F" w14:textId="0B241B7D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6: </w:t>
      </w:r>
    </w:p>
    <w:p w14:paraId="479A12DB" w14:textId="77777777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 xml:space="preserve">Não está correto. </w:t>
      </w:r>
      <w:r w:rsidRPr="00DE1A3A">
        <w:rPr>
          <w:rFonts w:ascii="Arial Narrow" w:hAnsi="Arial Narrow"/>
          <w:color w:val="auto"/>
        </w:rPr>
        <w:t xml:space="preserve">Duas interfaces é o dobro de uma. </w:t>
      </w:r>
    </w:p>
    <w:p w14:paraId="7CD228F5" w14:textId="033F36EC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7: </w:t>
      </w:r>
    </w:p>
    <w:p w14:paraId="257A3132" w14:textId="2C18AE13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Está parcialmente correto</w:t>
      </w:r>
      <w:r w:rsidRPr="00DE1A3A">
        <w:rPr>
          <w:rFonts w:ascii="Arial Narrow" w:hAnsi="Arial Narrow"/>
          <w:color w:val="auto"/>
        </w:rPr>
        <w:t>. O item 2.11.2 é subitem de 2.11: "Ao menos duas interfaces USB que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podem ser utilizadas como [...]". Portanto, a interface de setup inicial exigida será USB. Caso o fabricante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também implemente por interface RJ45, atenderá a funcionalidade de realizar o setup inicial, mas não atenderá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no aspecto de ser em interface diversa à exigida na especificação técnica.</w:t>
      </w:r>
    </w:p>
    <w:p w14:paraId="0DB183B0" w14:textId="2B2AAB2A" w:rsidR="00C068D0" w:rsidRPr="00DE1A3A" w:rsidRDefault="003D07E3" w:rsidP="00BA516F">
      <w:pPr>
        <w:spacing w:before="120" w:after="120" w:line="360" w:lineRule="auto"/>
        <w:ind w:left="-993" w:right="-1135"/>
        <w:jc w:val="both"/>
        <w:rPr>
          <w:szCs w:val="24"/>
        </w:rPr>
      </w:pPr>
      <w:r w:rsidRPr="00DE1A3A">
        <w:rPr>
          <w:rFonts w:cs="Verdana"/>
          <w:b/>
          <w:bCs/>
          <w:szCs w:val="24"/>
          <w:u w:val="single"/>
        </w:rPr>
        <w:t>QUESTIONAMENTO</w:t>
      </w:r>
      <w:r w:rsidRPr="00DE1A3A">
        <w:rPr>
          <w:szCs w:val="24"/>
        </w:rPr>
        <w:t xml:space="preserve"> 8: </w:t>
      </w:r>
    </w:p>
    <w:p w14:paraId="2DF8615E" w14:textId="7EE80FB2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 w:cstheme="minorBidi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Está parcialmente correto</w:t>
      </w:r>
      <w:r w:rsidRPr="00DE1A3A">
        <w:rPr>
          <w:rFonts w:ascii="Arial Narrow" w:hAnsi="Arial Narrow"/>
          <w:color w:val="auto"/>
        </w:rPr>
        <w:t>. O fabricante é livre para definir técnica utilizada para atender a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especificação dos requisitos técnicos, desde que os atenda. Entretanto, citando o exemplo questionado, há a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exigência de </w:t>
      </w:r>
      <w:r w:rsidRPr="00DE1A3A">
        <w:rPr>
          <w:rFonts w:ascii="Arial Narrow" w:hAnsi="Arial Narrow"/>
          <w:color w:val="auto"/>
        </w:rPr>
        <w:lastRenderedPageBreak/>
        <w:t>compatibilidade/funcionalidade do protocolo 802.3 AD, conforme descrito no Termo de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Referência: "2.21 Realizar agregação de links (802.3ad);".</w:t>
      </w:r>
    </w:p>
    <w:p w14:paraId="2CBC2D97" w14:textId="1EF54347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9: </w:t>
      </w:r>
    </w:p>
    <w:p w14:paraId="4A2DB68C" w14:textId="132B51C3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Está parcialmente correto</w:t>
      </w:r>
      <w:r w:rsidRPr="00DE1A3A">
        <w:rPr>
          <w:rFonts w:ascii="Arial Narrow" w:hAnsi="Arial Narrow"/>
          <w:color w:val="auto"/>
        </w:rPr>
        <w:t>. Os casos citados podem ser entendidos como adicionais ao descrito,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entretanto, a ferramenta deverá ser capaz de ser configurada para os provedores descritos na especificação.</w:t>
      </w:r>
    </w:p>
    <w:p w14:paraId="56C0F7A5" w14:textId="4222BD2E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10:</w:t>
      </w:r>
    </w:p>
    <w:p w14:paraId="43E9462A" w14:textId="11DC8D41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Não está correto</w:t>
      </w:r>
      <w:r w:rsidRPr="00DE1A3A">
        <w:rPr>
          <w:rFonts w:ascii="Arial Narrow" w:hAnsi="Arial Narrow"/>
          <w:color w:val="auto"/>
        </w:rPr>
        <w:t>. Desconhecemos a fonte da informação que há caracterização de preferência demarca, dado que outros fabricantes participantes do certame não questionaram e, pelos estudos realizados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durante o planejamento da contratação, há o entendimento que não há qualquer restrição para que o item seja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atendido unicamente pela marca </w:t>
      </w:r>
      <w:proofErr w:type="spellStart"/>
      <w:r w:rsidRPr="00DE1A3A">
        <w:rPr>
          <w:rFonts w:ascii="Arial Narrow" w:hAnsi="Arial Narrow"/>
          <w:color w:val="auto"/>
        </w:rPr>
        <w:t>Sophos</w:t>
      </w:r>
      <w:proofErr w:type="spellEnd"/>
      <w:r w:rsidRPr="00DE1A3A">
        <w:rPr>
          <w:rFonts w:ascii="Arial Narrow" w:hAnsi="Arial Narrow"/>
          <w:color w:val="auto"/>
        </w:rPr>
        <w:t>.</w:t>
      </w:r>
    </w:p>
    <w:p w14:paraId="67358F33" w14:textId="7D367805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11: Entendemos que a utilização de objetos utilizando, máscara de rede, range de </w:t>
      </w:r>
      <w:r w:rsidR="00C23338" w:rsidRPr="00DE1A3A">
        <w:rPr>
          <w:rFonts w:ascii="Arial Narrow" w:hAnsi="Arial Narrow"/>
          <w:color w:val="auto"/>
        </w:rPr>
        <w:t xml:space="preserve">rédea </w:t>
      </w:r>
      <w:r w:rsidRPr="00DE1A3A">
        <w:rPr>
          <w:rFonts w:ascii="Arial Narrow" w:hAnsi="Arial Narrow"/>
          <w:color w:val="auto"/>
        </w:rPr>
        <w:t xml:space="preserve">tende ao item ("2.66. Permitir a criação de políticas por IP utilizando </w:t>
      </w:r>
      <w:proofErr w:type="spellStart"/>
      <w:r w:rsidRPr="00DE1A3A">
        <w:rPr>
          <w:rFonts w:ascii="Arial Narrow" w:hAnsi="Arial Narrow"/>
          <w:color w:val="auto"/>
        </w:rPr>
        <w:t>wildcard</w:t>
      </w:r>
      <w:proofErr w:type="spellEnd"/>
      <w:r w:rsidRPr="00DE1A3A">
        <w:rPr>
          <w:rFonts w:ascii="Arial Narrow" w:hAnsi="Arial Narrow"/>
          <w:color w:val="auto"/>
        </w:rPr>
        <w:t>;"). Está correto o entendimento?</w:t>
      </w:r>
    </w:p>
    <w:p w14:paraId="0CC37E7B" w14:textId="07C32B53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Não está correto</w:t>
      </w:r>
      <w:r w:rsidRPr="00DE1A3A">
        <w:rPr>
          <w:rFonts w:ascii="Arial Narrow" w:hAnsi="Arial Narrow"/>
          <w:color w:val="auto"/>
        </w:rPr>
        <w:t>. Caracteres coringas (</w:t>
      </w:r>
      <w:proofErr w:type="spellStart"/>
      <w:r w:rsidRPr="00DE1A3A">
        <w:rPr>
          <w:rFonts w:ascii="Arial Narrow" w:hAnsi="Arial Narrow"/>
          <w:color w:val="auto"/>
        </w:rPr>
        <w:t>wildcards</w:t>
      </w:r>
      <w:proofErr w:type="spellEnd"/>
      <w:r w:rsidRPr="00DE1A3A">
        <w:rPr>
          <w:rFonts w:ascii="Arial Narrow" w:hAnsi="Arial Narrow"/>
          <w:color w:val="auto"/>
        </w:rPr>
        <w:t>) são utilizados para abranger vários termos em uma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só expressão. É utilizado principalmente para declaração de múltiplos subdomínios (ex.: </w:t>
      </w:r>
      <w:proofErr w:type="gramStart"/>
      <w:r w:rsidRPr="00DE1A3A">
        <w:rPr>
          <w:rFonts w:ascii="Arial Narrow" w:hAnsi="Arial Narrow"/>
          <w:color w:val="auto"/>
        </w:rPr>
        <w:t>*.gov.*</w:t>
      </w:r>
      <w:proofErr w:type="gramEnd"/>
      <w:r w:rsidRPr="00DE1A3A">
        <w:rPr>
          <w:rFonts w:ascii="Arial Narrow" w:hAnsi="Arial Narrow"/>
          <w:color w:val="auto"/>
        </w:rPr>
        <w:t>). Portanto, não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há qualquer relação com o uso de máscaras, ranges ou endereços </w:t>
      </w:r>
      <w:proofErr w:type="spellStart"/>
      <w:r w:rsidRPr="00DE1A3A">
        <w:rPr>
          <w:rFonts w:ascii="Arial Narrow" w:hAnsi="Arial Narrow"/>
          <w:color w:val="auto"/>
        </w:rPr>
        <w:t>IPs</w:t>
      </w:r>
      <w:proofErr w:type="spellEnd"/>
      <w:r w:rsidRPr="00DE1A3A">
        <w:rPr>
          <w:rFonts w:ascii="Arial Narrow" w:hAnsi="Arial Narrow"/>
          <w:color w:val="auto"/>
        </w:rPr>
        <w:t>.</w:t>
      </w:r>
    </w:p>
    <w:p w14:paraId="42D7FE30" w14:textId="71019CD7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12: Sobre o item 2.68.2 ("A ação baseada em conteúdo HTTP e HTTPS deve suportar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acionamento via padrão do cabeçalho e via expressão regular;"), para fins de competitividade, entendemos que o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item será atendido se a suportar acionamento via padrão do cabeçalho OU via expressão regular solução, correto?</w:t>
      </w:r>
    </w:p>
    <w:p w14:paraId="733F588B" w14:textId="7E626696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Errado</w:t>
      </w:r>
      <w:r w:rsidRPr="00DE1A3A">
        <w:rPr>
          <w:rFonts w:ascii="Arial Narrow" w:hAnsi="Arial Narrow"/>
          <w:color w:val="auto"/>
        </w:rPr>
        <w:t>. O uso do conectivo "e" significa uma conjunção lógica. Ou seja, só será válido quando ambos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os termos forem atendidos. O licitante está citando o conectivo "ou", que representa uma disjunção lógica, o que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diminuiria as exigências do item e, por conseguinte, não atenderia às necessidades desse Instituto.</w:t>
      </w:r>
    </w:p>
    <w:p w14:paraId="6034B5EB" w14:textId="77777777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13: Entendemos que o item ("2.100. A solução deve suportar VPN site-</w:t>
      </w:r>
      <w:proofErr w:type="spellStart"/>
      <w:r w:rsidRPr="00DE1A3A">
        <w:rPr>
          <w:rFonts w:ascii="Arial Narrow" w:hAnsi="Arial Narrow"/>
          <w:color w:val="auto"/>
        </w:rPr>
        <w:t>to</w:t>
      </w:r>
      <w:proofErr w:type="spellEnd"/>
      <w:r w:rsidRPr="00DE1A3A">
        <w:rPr>
          <w:rFonts w:ascii="Arial Narrow" w:hAnsi="Arial Narrow"/>
          <w:color w:val="auto"/>
        </w:rPr>
        <w:t>-site sobre TLS;"</w:t>
      </w:r>
      <w:proofErr w:type="gramStart"/>
      <w:r w:rsidRPr="00DE1A3A">
        <w:rPr>
          <w:rFonts w:ascii="Arial Narrow" w:hAnsi="Arial Narrow"/>
          <w:color w:val="auto"/>
        </w:rPr>
        <w:t>),não</w:t>
      </w:r>
      <w:proofErr w:type="gramEnd"/>
      <w:r w:rsidRPr="00DE1A3A">
        <w:rPr>
          <w:rFonts w:ascii="Arial Narrow" w:hAnsi="Arial Narrow"/>
          <w:color w:val="auto"/>
        </w:rPr>
        <w:t xml:space="preserve"> condiz com as boas práticas de mercado para as conexões site-</w:t>
      </w:r>
      <w:proofErr w:type="spellStart"/>
      <w:r w:rsidRPr="00DE1A3A">
        <w:rPr>
          <w:rFonts w:ascii="Arial Narrow" w:hAnsi="Arial Narrow"/>
          <w:color w:val="auto"/>
        </w:rPr>
        <w:t>to</w:t>
      </w:r>
      <w:proofErr w:type="spellEnd"/>
      <w:r w:rsidRPr="00DE1A3A">
        <w:rPr>
          <w:rFonts w:ascii="Arial Narrow" w:hAnsi="Arial Narrow"/>
          <w:color w:val="auto"/>
        </w:rPr>
        <w:t xml:space="preserve">-site, em que devemos considerar suporte </w:t>
      </w:r>
      <w:proofErr w:type="spellStart"/>
      <w:r w:rsidRPr="00DE1A3A">
        <w:rPr>
          <w:rFonts w:ascii="Arial Narrow" w:hAnsi="Arial Narrow"/>
          <w:color w:val="auto"/>
        </w:rPr>
        <w:t>àVPN</w:t>
      </w:r>
      <w:proofErr w:type="spellEnd"/>
      <w:r w:rsidRPr="00DE1A3A">
        <w:rPr>
          <w:rFonts w:ascii="Arial Narrow" w:hAnsi="Arial Narrow"/>
          <w:color w:val="auto"/>
        </w:rPr>
        <w:t xml:space="preserve"> </w:t>
      </w:r>
      <w:proofErr w:type="spellStart"/>
      <w:r w:rsidRPr="00DE1A3A">
        <w:rPr>
          <w:rFonts w:ascii="Arial Narrow" w:hAnsi="Arial Narrow"/>
          <w:color w:val="auto"/>
        </w:rPr>
        <w:t>IPSec</w:t>
      </w:r>
      <w:proofErr w:type="spellEnd"/>
      <w:r w:rsidRPr="00DE1A3A">
        <w:rPr>
          <w:rFonts w:ascii="Arial Narrow" w:hAnsi="Arial Narrow"/>
          <w:color w:val="auto"/>
        </w:rPr>
        <w:t xml:space="preserve"> site-</w:t>
      </w:r>
      <w:proofErr w:type="spellStart"/>
      <w:r w:rsidRPr="00DE1A3A">
        <w:rPr>
          <w:rFonts w:ascii="Arial Narrow" w:hAnsi="Arial Narrow"/>
          <w:color w:val="auto"/>
        </w:rPr>
        <w:t>to</w:t>
      </w:r>
      <w:proofErr w:type="spellEnd"/>
      <w:r w:rsidRPr="00DE1A3A">
        <w:rPr>
          <w:rFonts w:ascii="Arial Narrow" w:hAnsi="Arial Narrow"/>
          <w:color w:val="auto"/>
        </w:rPr>
        <w:t>-site. Está correto o entendimento?</w:t>
      </w:r>
    </w:p>
    <w:p w14:paraId="6133E816" w14:textId="32B1A947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Não está correto</w:t>
      </w:r>
      <w:r w:rsidRPr="00DE1A3A">
        <w:rPr>
          <w:rFonts w:ascii="Arial Narrow" w:hAnsi="Arial Narrow"/>
          <w:color w:val="auto"/>
        </w:rPr>
        <w:t>. O ITI hoje tem diversas peculiaridades em suas configurações de rede, e essa é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uma tecnologia que poderá viabilizar a transição para o que as equipes técnicas entendem como o ideal. Ademais,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o suporte a </w:t>
      </w:r>
      <w:proofErr w:type="spellStart"/>
      <w:r w:rsidRPr="00DE1A3A">
        <w:rPr>
          <w:rFonts w:ascii="Arial Narrow" w:hAnsi="Arial Narrow"/>
          <w:color w:val="auto"/>
        </w:rPr>
        <w:t>VPNs</w:t>
      </w:r>
      <w:proofErr w:type="spellEnd"/>
      <w:r w:rsidRPr="00DE1A3A">
        <w:rPr>
          <w:rFonts w:ascii="Arial Narrow" w:hAnsi="Arial Narrow"/>
          <w:color w:val="auto"/>
        </w:rPr>
        <w:t xml:space="preserve"> </w:t>
      </w:r>
      <w:proofErr w:type="spellStart"/>
      <w:r w:rsidRPr="00DE1A3A">
        <w:rPr>
          <w:rFonts w:ascii="Arial Narrow" w:hAnsi="Arial Narrow"/>
          <w:color w:val="auto"/>
        </w:rPr>
        <w:t>IPSec</w:t>
      </w:r>
      <w:proofErr w:type="spellEnd"/>
      <w:r w:rsidRPr="00DE1A3A">
        <w:rPr>
          <w:rFonts w:ascii="Arial Narrow" w:hAnsi="Arial Narrow"/>
          <w:color w:val="auto"/>
        </w:rPr>
        <w:t xml:space="preserve"> site-</w:t>
      </w:r>
      <w:proofErr w:type="spellStart"/>
      <w:r w:rsidRPr="00DE1A3A">
        <w:rPr>
          <w:rFonts w:ascii="Arial Narrow" w:hAnsi="Arial Narrow"/>
          <w:color w:val="auto"/>
        </w:rPr>
        <w:t>to</w:t>
      </w:r>
      <w:proofErr w:type="spellEnd"/>
      <w:r w:rsidRPr="00DE1A3A">
        <w:rPr>
          <w:rFonts w:ascii="Arial Narrow" w:hAnsi="Arial Narrow"/>
          <w:color w:val="auto"/>
        </w:rPr>
        <w:t xml:space="preserve">-site está descrito no item 2.90: "Deve suportar pelo menos 100 </w:t>
      </w:r>
      <w:proofErr w:type="spellStart"/>
      <w:r w:rsidRPr="00DE1A3A">
        <w:rPr>
          <w:rFonts w:ascii="Arial Narrow" w:hAnsi="Arial Narrow"/>
          <w:color w:val="auto"/>
        </w:rPr>
        <w:t>VPNsentre</w:t>
      </w:r>
      <w:proofErr w:type="spellEnd"/>
      <w:r w:rsidRPr="00DE1A3A">
        <w:rPr>
          <w:rFonts w:ascii="Arial Narrow" w:hAnsi="Arial Narrow"/>
          <w:color w:val="auto"/>
        </w:rPr>
        <w:t xml:space="preserve"> sites utilizando </w:t>
      </w:r>
      <w:proofErr w:type="spellStart"/>
      <w:r w:rsidRPr="00DE1A3A">
        <w:rPr>
          <w:rFonts w:ascii="Arial Narrow" w:hAnsi="Arial Narrow"/>
          <w:color w:val="auto"/>
        </w:rPr>
        <w:t>IPSec</w:t>
      </w:r>
      <w:proofErr w:type="spellEnd"/>
      <w:r w:rsidRPr="00DE1A3A">
        <w:rPr>
          <w:rFonts w:ascii="Arial Narrow" w:hAnsi="Arial Narrow"/>
          <w:color w:val="auto"/>
        </w:rPr>
        <w:t>;".</w:t>
      </w:r>
    </w:p>
    <w:p w14:paraId="1F5B8D87" w14:textId="64B7C5C8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14: Sobre o item 2.106 ("Permitir que o filtro trabalhe por categorias, ajustado por grupos de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usuário e possuir um mínimo de 120 categorias;"), entendemos que o atendimento a 85 categorias na base dedados do fabricante e possibilidade de inclusão de demais categorias locais atende ao solicitado, correto?</w:t>
      </w:r>
    </w:p>
    <w:p w14:paraId="4ACF4CA7" w14:textId="537612D2" w:rsidR="003D07E3" w:rsidRPr="00DE1A3A" w:rsidRDefault="003D07E3" w:rsidP="00BA516F">
      <w:pPr>
        <w:spacing w:before="120" w:after="120" w:line="360" w:lineRule="auto"/>
        <w:ind w:left="-993" w:right="-1135"/>
        <w:jc w:val="both"/>
        <w:rPr>
          <w:szCs w:val="24"/>
        </w:rPr>
      </w:pPr>
      <w:r w:rsidRPr="00DE1A3A">
        <w:rPr>
          <w:rFonts w:cs="Verdana"/>
          <w:b/>
          <w:bCs/>
          <w:szCs w:val="24"/>
          <w:u w:val="single"/>
        </w:rPr>
        <w:lastRenderedPageBreak/>
        <w:t>Resposta</w:t>
      </w:r>
      <w:r w:rsidRPr="00DE1A3A">
        <w:rPr>
          <w:szCs w:val="24"/>
        </w:rPr>
        <w:t xml:space="preserve">: </w:t>
      </w:r>
      <w:r w:rsidRPr="00DE1A3A">
        <w:rPr>
          <w:b/>
          <w:bCs/>
          <w:szCs w:val="24"/>
        </w:rPr>
        <w:t xml:space="preserve">Não está correto. </w:t>
      </w:r>
      <w:r w:rsidRPr="00DE1A3A">
        <w:rPr>
          <w:szCs w:val="24"/>
        </w:rPr>
        <w:t>120 é maior que 85. Caso fossem aceitas customizações para complemento desse</w:t>
      </w:r>
      <w:r w:rsidR="00C23338" w:rsidRPr="00DE1A3A">
        <w:rPr>
          <w:szCs w:val="24"/>
        </w:rPr>
        <w:t xml:space="preserve"> </w:t>
      </w:r>
      <w:r w:rsidRPr="00DE1A3A">
        <w:rPr>
          <w:szCs w:val="24"/>
        </w:rPr>
        <w:t>número, um concorrente que trabalha com 5 categorias predefinidas poderia customizar outras 115 no</w:t>
      </w:r>
      <w:r w:rsidR="00C23338" w:rsidRPr="00DE1A3A">
        <w:rPr>
          <w:szCs w:val="24"/>
        </w:rPr>
        <w:t xml:space="preserve"> </w:t>
      </w:r>
      <w:r w:rsidRPr="00DE1A3A">
        <w:rPr>
          <w:szCs w:val="24"/>
        </w:rPr>
        <w:t>equipamento ent</w:t>
      </w:r>
      <w:r w:rsidR="00C23338" w:rsidRPr="00DE1A3A">
        <w:rPr>
          <w:szCs w:val="24"/>
        </w:rPr>
        <w:t>r</w:t>
      </w:r>
      <w:r w:rsidRPr="00DE1A3A">
        <w:rPr>
          <w:szCs w:val="24"/>
        </w:rPr>
        <w:t>egue. Não será aceito</w:t>
      </w:r>
      <w:r w:rsidR="002E3ECA">
        <w:rPr>
          <w:szCs w:val="24"/>
        </w:rPr>
        <w:t>.</w:t>
      </w:r>
    </w:p>
    <w:p w14:paraId="11AB36B9" w14:textId="70591E00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 w:cstheme="minorBidi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 w:cstheme="minorBidi"/>
          <w:color w:val="auto"/>
        </w:rPr>
        <w:t xml:space="preserve"> 15: Entendemos que o item ("2.111. Filtrar conteúdo em múltiplas línguas, incluindo, mas não</w:t>
      </w:r>
      <w:r w:rsidR="00C23338" w:rsidRPr="00DE1A3A">
        <w:rPr>
          <w:rFonts w:ascii="Arial Narrow" w:hAnsi="Arial Narrow" w:cstheme="minorBidi"/>
          <w:color w:val="auto"/>
        </w:rPr>
        <w:t xml:space="preserve"> </w:t>
      </w:r>
      <w:r w:rsidRPr="00DE1A3A">
        <w:rPr>
          <w:rFonts w:ascii="Arial Narrow" w:hAnsi="Arial Narrow" w:cstheme="minorBidi"/>
          <w:color w:val="auto"/>
        </w:rPr>
        <w:t>limitado a: português, inglês, alemão, espanhol, japonês, chinês tradicional e simplificado;"), é completamente</w:t>
      </w:r>
      <w:r w:rsidR="00C23338" w:rsidRPr="00DE1A3A">
        <w:rPr>
          <w:rFonts w:ascii="Arial Narrow" w:hAnsi="Arial Narrow" w:cstheme="minorBidi"/>
          <w:color w:val="auto"/>
        </w:rPr>
        <w:t xml:space="preserve"> </w:t>
      </w:r>
      <w:r w:rsidRPr="00DE1A3A">
        <w:rPr>
          <w:rFonts w:ascii="Arial Narrow" w:hAnsi="Arial Narrow" w:cstheme="minorBidi"/>
          <w:color w:val="auto"/>
        </w:rPr>
        <w:t>atendido através do suporte a línguas ocidentais (Western), está correto o entendimento?</w:t>
      </w:r>
    </w:p>
    <w:p w14:paraId="705F0031" w14:textId="25E0CE9A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Está parcialmente correto</w:t>
      </w:r>
      <w:r w:rsidRPr="00DE1A3A">
        <w:rPr>
          <w:rFonts w:ascii="Arial Narrow" w:hAnsi="Arial Narrow"/>
          <w:color w:val="auto"/>
        </w:rPr>
        <w:t>. Depende da codificação utilizada nas implementações do fabricante, dado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que os caracteres latinos e orientais podem não estar contidos em determinados padrões.</w:t>
      </w:r>
    </w:p>
    <w:p w14:paraId="07973F5B" w14:textId="31856425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16: Uma vez que diversas assinaturas são específicas da necessidade de cada cliente,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entendemos que os itens contemplados nos subitens de 2.115.1 – 2.115.71 serão atendidos com a capacidade da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solução em incluir por customização a respectiva assinatura de aplicação, está correto o nosso entendimento?</w:t>
      </w:r>
    </w:p>
    <w:p w14:paraId="50663ABC" w14:textId="655FAABE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Não está correto</w:t>
      </w:r>
      <w:r w:rsidRPr="00DE1A3A">
        <w:rPr>
          <w:rFonts w:ascii="Arial Narrow" w:hAnsi="Arial Narrow"/>
          <w:color w:val="auto"/>
        </w:rPr>
        <w:t>. Incluir por customização se assemelha a inclusão prevista em Road Map (ver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questionamento 5). Só será aceito caso o fabricante já tenha tais assinaturas.</w:t>
      </w:r>
    </w:p>
    <w:p w14:paraId="7CE80C5E" w14:textId="2D22EF9E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17: Relacionado ao item 2.181. ("Permitir que administradores realizem o suporte de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implementação e acesso centralizado a aplicações na nuvem e recursos internos via RDP e SSH, com integração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com soluções de SSO;"), entendemos que a solução deverá suportar SSO através de solução Microsoft </w:t>
      </w:r>
      <w:proofErr w:type="spellStart"/>
      <w:r w:rsidRPr="00DE1A3A">
        <w:rPr>
          <w:rFonts w:ascii="Arial Narrow" w:hAnsi="Arial Narrow"/>
          <w:color w:val="auto"/>
        </w:rPr>
        <w:t>ActiveDirectory</w:t>
      </w:r>
      <w:proofErr w:type="spellEnd"/>
      <w:r w:rsidRPr="00DE1A3A">
        <w:rPr>
          <w:rFonts w:ascii="Arial Narrow" w:hAnsi="Arial Narrow"/>
          <w:color w:val="auto"/>
        </w:rPr>
        <w:t xml:space="preserve"> e </w:t>
      </w:r>
      <w:proofErr w:type="spellStart"/>
      <w:r w:rsidRPr="00DE1A3A">
        <w:rPr>
          <w:rFonts w:ascii="Arial Narrow" w:hAnsi="Arial Narrow"/>
          <w:color w:val="auto"/>
        </w:rPr>
        <w:t>Radius</w:t>
      </w:r>
      <w:proofErr w:type="spellEnd"/>
      <w:r w:rsidRPr="00DE1A3A">
        <w:rPr>
          <w:rFonts w:ascii="Arial Narrow" w:hAnsi="Arial Narrow"/>
          <w:color w:val="auto"/>
        </w:rPr>
        <w:t xml:space="preserve"> conforme solicitados nos itens 2.77, 2.78, 2.79. Está correto o entendimento?</w:t>
      </w:r>
    </w:p>
    <w:p w14:paraId="6D2F7CB0" w14:textId="304F52AC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Está correto</w:t>
      </w:r>
      <w:r w:rsidRPr="00DE1A3A">
        <w:rPr>
          <w:rFonts w:ascii="Arial Narrow" w:hAnsi="Arial Narrow"/>
          <w:color w:val="auto"/>
        </w:rPr>
        <w:t>, mas o item de referência é, principalmente, o 2.47: "Suportar autenticação transparente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de usuários (Single </w:t>
      </w:r>
      <w:proofErr w:type="spellStart"/>
      <w:r w:rsidRPr="00DE1A3A">
        <w:rPr>
          <w:rFonts w:ascii="Arial Narrow" w:hAnsi="Arial Narrow"/>
          <w:color w:val="auto"/>
        </w:rPr>
        <w:t>Sign</w:t>
      </w:r>
      <w:proofErr w:type="spellEnd"/>
      <w:r w:rsidRPr="00DE1A3A">
        <w:rPr>
          <w:rFonts w:ascii="Arial Narrow" w:hAnsi="Arial Narrow"/>
          <w:color w:val="auto"/>
        </w:rPr>
        <w:t xml:space="preserve"> </w:t>
      </w:r>
      <w:proofErr w:type="spellStart"/>
      <w:r w:rsidRPr="00DE1A3A">
        <w:rPr>
          <w:rFonts w:ascii="Arial Narrow" w:hAnsi="Arial Narrow"/>
          <w:color w:val="auto"/>
        </w:rPr>
        <w:t>On</w:t>
      </w:r>
      <w:proofErr w:type="spellEnd"/>
      <w:r w:rsidRPr="00DE1A3A">
        <w:rPr>
          <w:rFonts w:ascii="Arial Narrow" w:hAnsi="Arial Narrow"/>
          <w:color w:val="auto"/>
        </w:rPr>
        <w:t>) de AD e RADIUS;".</w:t>
      </w:r>
    </w:p>
    <w:p w14:paraId="51CF6698" w14:textId="5C7CA8CF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18: Sobre os itens 2.163 ("Oferecer suporte DLP para iniciativas de conformidade com PCI,HIPAA e GDPR e 2.224.2 (" de </w:t>
      </w:r>
      <w:proofErr w:type="spellStart"/>
      <w:r w:rsidRPr="00DE1A3A">
        <w:rPr>
          <w:rFonts w:ascii="Arial Narrow" w:hAnsi="Arial Narrow"/>
          <w:color w:val="auto"/>
        </w:rPr>
        <w:t>compliance</w:t>
      </w:r>
      <w:proofErr w:type="spellEnd"/>
      <w:r w:rsidRPr="00DE1A3A">
        <w:rPr>
          <w:rFonts w:ascii="Arial Narrow" w:hAnsi="Arial Narrow"/>
          <w:color w:val="auto"/>
        </w:rPr>
        <w:t xml:space="preserve"> com padrões internacionais como HIPAA, PCI e GDPR;"), por se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tratarem de legislação estrangeira, entendemos estarem aderentes as soluções que atendam às políticas de boas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práticas de mercado, correto?</w:t>
      </w:r>
    </w:p>
    <w:p w14:paraId="1C9FBC66" w14:textId="35650250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Não está correto</w:t>
      </w:r>
      <w:r w:rsidRPr="00DE1A3A">
        <w:rPr>
          <w:rFonts w:ascii="Arial Narrow" w:hAnsi="Arial Narrow"/>
          <w:color w:val="auto"/>
        </w:rPr>
        <w:t>. O padrão GDPR é consoante com o da LGPD. Os demais, tem características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interessantes para implementação pelo ITI em momento oportuno.</w:t>
      </w:r>
    </w:p>
    <w:p w14:paraId="370B4D1A" w14:textId="636540A5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19: Sobre o item 2.165 ("Fornecer regras predefinidas de DLP para o Brasil"), fornecedores de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soluções de NGFW não desenvolvidos no Brasil e recomendados por entidades como NSS </w:t>
      </w:r>
      <w:proofErr w:type="spellStart"/>
      <w:r w:rsidRPr="00DE1A3A">
        <w:rPr>
          <w:rFonts w:ascii="Arial Narrow" w:hAnsi="Arial Narrow"/>
          <w:color w:val="auto"/>
        </w:rPr>
        <w:t>Labs</w:t>
      </w:r>
      <w:proofErr w:type="spellEnd"/>
      <w:r w:rsidRPr="00DE1A3A">
        <w:rPr>
          <w:rFonts w:ascii="Arial Narrow" w:hAnsi="Arial Narrow"/>
          <w:color w:val="auto"/>
        </w:rPr>
        <w:t xml:space="preserve"> podem não possuir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regras predefinidas de dados padrão brasileiro. Desta forma, entendemos que a solução deverá fornecer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características para essa customização, através de padrões literais bem como através de expressões regulares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permitindo assim maior flexibilidade nas definições dos atributos. Está correto o entendimento??</w:t>
      </w:r>
    </w:p>
    <w:p w14:paraId="4799B330" w14:textId="3E6DEE9B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Está parcialmente correto</w:t>
      </w:r>
      <w:r w:rsidRPr="00DE1A3A">
        <w:rPr>
          <w:rFonts w:ascii="Arial Narrow" w:hAnsi="Arial Narrow"/>
          <w:color w:val="auto"/>
        </w:rPr>
        <w:t>. Caso o fabricante não disponha nativamente, a licitante deverá ter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disponíveis as regras, seja ou não por expressões regulares, para atender ao critério.</w:t>
      </w:r>
    </w:p>
    <w:p w14:paraId="6E7C22FC" w14:textId="1A678308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lastRenderedPageBreak/>
        <w:t>QUESTIONAMENTO</w:t>
      </w:r>
      <w:r w:rsidRPr="00DE1A3A">
        <w:rPr>
          <w:rFonts w:ascii="Arial Narrow" w:hAnsi="Arial Narrow"/>
          <w:color w:val="auto"/>
        </w:rPr>
        <w:t xml:space="preserve"> 20: Relacionado ao item 2.198.("Suportar o monitoramento de link com </w:t>
      </w:r>
      <w:proofErr w:type="spellStart"/>
      <w:r w:rsidRPr="00DE1A3A">
        <w:rPr>
          <w:rFonts w:ascii="Arial Narrow" w:hAnsi="Arial Narrow"/>
          <w:color w:val="auto"/>
        </w:rPr>
        <w:t>ping</w:t>
      </w:r>
      <w:proofErr w:type="spellEnd"/>
      <w:r w:rsidRPr="00DE1A3A">
        <w:rPr>
          <w:rFonts w:ascii="Arial Narrow" w:hAnsi="Arial Narrow"/>
          <w:color w:val="auto"/>
        </w:rPr>
        <w:t>, TCP e DNS;"</w:t>
      </w:r>
      <w:proofErr w:type="gramStart"/>
      <w:r w:rsidRPr="00DE1A3A">
        <w:rPr>
          <w:rFonts w:ascii="Arial Narrow" w:hAnsi="Arial Narrow"/>
          <w:color w:val="auto"/>
        </w:rPr>
        <w:t>),entendemos</w:t>
      </w:r>
      <w:proofErr w:type="gramEnd"/>
      <w:r w:rsidRPr="00DE1A3A">
        <w:rPr>
          <w:rFonts w:ascii="Arial Narrow" w:hAnsi="Arial Narrow"/>
          <w:color w:val="auto"/>
        </w:rPr>
        <w:t xml:space="preserve"> que o suporte ao protocolo UDP e TCP atende ao monitoramento DNS que por padrão trabalha na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porta 53 dos protocolos UDP e TCP. Está correto o entendimento?</w:t>
      </w:r>
    </w:p>
    <w:p w14:paraId="2B5702A0" w14:textId="101A91C4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 xml:space="preserve">Está correto </w:t>
      </w:r>
      <w:r w:rsidRPr="00DE1A3A">
        <w:rPr>
          <w:rFonts w:ascii="Arial Narrow" w:hAnsi="Arial Narrow"/>
          <w:color w:val="auto"/>
        </w:rPr>
        <w:t xml:space="preserve">com a observação de que o caso do </w:t>
      </w:r>
      <w:proofErr w:type="spellStart"/>
      <w:r w:rsidRPr="00DE1A3A">
        <w:rPr>
          <w:rFonts w:ascii="Arial Narrow" w:hAnsi="Arial Narrow"/>
          <w:color w:val="auto"/>
        </w:rPr>
        <w:t>ping</w:t>
      </w:r>
      <w:proofErr w:type="spellEnd"/>
      <w:r w:rsidRPr="00DE1A3A">
        <w:rPr>
          <w:rFonts w:ascii="Arial Narrow" w:hAnsi="Arial Narrow"/>
          <w:color w:val="auto"/>
        </w:rPr>
        <w:t xml:space="preserve"> não se aplica a UDP ou TCP, dado que utiliza o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protocolo ICMP, que é de camada inferior ao transporte. </w:t>
      </w:r>
    </w:p>
    <w:p w14:paraId="440C8F50" w14:textId="068BEE14" w:rsidR="003D07E3" w:rsidRPr="00DE1A3A" w:rsidRDefault="003D07E3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21: Relacionado ao item 2.211.("Permitir a edição de políticas através de Windows GUI, interface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Web e CLI;"), entendemos que o item Windows GUI, faz referência a agente de edição da plataforma de gerência,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desta forma excluindo "players" de grande relevância a participarem do processo licitatório. No item 2.213.("Suportar gerenciamento via Web Browser ou via cliente;"), destaca-se a opção de gerência da solução através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de Interface Web ou agente. Diante do exposto, podemos considerar a edição das políticas com todas as opções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avançadas disponíveis através de Interface Web?</w:t>
      </w:r>
    </w:p>
    <w:p w14:paraId="566C4E88" w14:textId="1DBEFEEB" w:rsidR="003D07E3" w:rsidRPr="00DE1A3A" w:rsidRDefault="003D07E3" w:rsidP="00BA516F">
      <w:pPr>
        <w:spacing w:before="120" w:after="120" w:line="360" w:lineRule="auto"/>
        <w:ind w:left="-993" w:right="-1135"/>
        <w:jc w:val="both"/>
        <w:rPr>
          <w:szCs w:val="24"/>
        </w:rPr>
      </w:pPr>
      <w:r w:rsidRPr="00DE1A3A">
        <w:rPr>
          <w:rFonts w:cs="Verdana"/>
          <w:b/>
          <w:bCs/>
          <w:szCs w:val="24"/>
          <w:u w:val="single"/>
        </w:rPr>
        <w:t>Resposta</w:t>
      </w:r>
      <w:r w:rsidRPr="00DE1A3A">
        <w:rPr>
          <w:szCs w:val="24"/>
        </w:rPr>
        <w:t xml:space="preserve">: </w:t>
      </w:r>
      <w:r w:rsidRPr="00DE1A3A">
        <w:rPr>
          <w:b/>
          <w:bCs/>
          <w:szCs w:val="24"/>
        </w:rPr>
        <w:t>O item já menciona o perguntado</w:t>
      </w:r>
      <w:r w:rsidRPr="00DE1A3A">
        <w:rPr>
          <w:szCs w:val="24"/>
        </w:rPr>
        <w:t>. "Excluir 'players' de grande relevância" é parte de toda e</w:t>
      </w:r>
      <w:r w:rsidR="00C23338" w:rsidRPr="00DE1A3A">
        <w:rPr>
          <w:szCs w:val="24"/>
        </w:rPr>
        <w:t xml:space="preserve"> </w:t>
      </w:r>
      <w:r w:rsidRPr="00DE1A3A">
        <w:rPr>
          <w:szCs w:val="24"/>
        </w:rPr>
        <w:t>qualquer montagem de especificação técnica. Afinal, caso todos fossem abrangidos, possivelmente a demanda de</w:t>
      </w:r>
      <w:r w:rsidR="00C23338" w:rsidRPr="00DE1A3A">
        <w:rPr>
          <w:szCs w:val="24"/>
        </w:rPr>
        <w:t xml:space="preserve"> </w:t>
      </w:r>
      <w:r w:rsidRPr="00DE1A3A">
        <w:rPr>
          <w:szCs w:val="24"/>
        </w:rPr>
        <w:t xml:space="preserve">firewall seria atendida via software livre (ex.: </w:t>
      </w:r>
      <w:proofErr w:type="spellStart"/>
      <w:r w:rsidRPr="00DE1A3A">
        <w:rPr>
          <w:szCs w:val="24"/>
        </w:rPr>
        <w:t>IPTables</w:t>
      </w:r>
      <w:proofErr w:type="spellEnd"/>
      <w:r w:rsidRPr="00DE1A3A">
        <w:rPr>
          <w:szCs w:val="24"/>
        </w:rPr>
        <w:t>), o que não é o caso. O texto diz:</w:t>
      </w:r>
      <w:r w:rsidR="00C23338" w:rsidRPr="00DE1A3A">
        <w:rPr>
          <w:szCs w:val="24"/>
        </w:rPr>
        <w:t xml:space="preserve"> </w:t>
      </w:r>
      <w:r w:rsidRPr="00DE1A3A">
        <w:rPr>
          <w:szCs w:val="24"/>
        </w:rPr>
        <w:t>"</w:t>
      </w:r>
      <w:r w:rsidRPr="00DE1A3A">
        <w:rPr>
          <w:b/>
          <w:bCs/>
          <w:szCs w:val="24"/>
        </w:rPr>
        <w:t>Permitir a edição de</w:t>
      </w:r>
      <w:r w:rsidR="00C23338" w:rsidRPr="00DE1A3A">
        <w:rPr>
          <w:b/>
          <w:bCs/>
          <w:szCs w:val="24"/>
        </w:rPr>
        <w:t xml:space="preserve"> </w:t>
      </w:r>
      <w:r w:rsidRPr="00DE1A3A">
        <w:rPr>
          <w:b/>
          <w:bCs/>
          <w:szCs w:val="24"/>
        </w:rPr>
        <w:t xml:space="preserve">políticas através de </w:t>
      </w:r>
      <w:r w:rsidRPr="00DE1A3A">
        <w:rPr>
          <w:szCs w:val="24"/>
        </w:rPr>
        <w:t xml:space="preserve">Windows GUI, </w:t>
      </w:r>
      <w:r w:rsidRPr="00DE1A3A">
        <w:rPr>
          <w:b/>
          <w:bCs/>
          <w:szCs w:val="24"/>
        </w:rPr>
        <w:t xml:space="preserve">interface Web </w:t>
      </w:r>
      <w:r w:rsidRPr="00DE1A3A">
        <w:rPr>
          <w:szCs w:val="24"/>
        </w:rPr>
        <w:t>e CLI;". Interfaces web são acessadas via web browsers,</w:t>
      </w:r>
      <w:r w:rsidR="00C23338" w:rsidRPr="00DE1A3A">
        <w:rPr>
          <w:szCs w:val="24"/>
        </w:rPr>
        <w:t xml:space="preserve"> </w:t>
      </w:r>
      <w:r w:rsidRPr="00DE1A3A">
        <w:rPr>
          <w:szCs w:val="24"/>
        </w:rPr>
        <w:t>logo, está abrangida pelo questionado</w:t>
      </w:r>
    </w:p>
    <w:p w14:paraId="7FDA1E62" w14:textId="563B141C" w:rsidR="00BA516F" w:rsidRPr="00DE1A3A" w:rsidRDefault="00BA516F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 w:cstheme="minorBidi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 w:cstheme="minorBidi"/>
          <w:color w:val="auto"/>
        </w:rPr>
        <w:t xml:space="preserve"> 22: Relacionado ao item 2.222. ("A solução de logs e relatórios deve possuir ao menos 90</w:t>
      </w:r>
      <w:r w:rsidR="00C23338" w:rsidRPr="00DE1A3A">
        <w:rPr>
          <w:rFonts w:ascii="Arial Narrow" w:hAnsi="Arial Narrow" w:cstheme="minorBidi"/>
          <w:color w:val="auto"/>
        </w:rPr>
        <w:t xml:space="preserve"> </w:t>
      </w:r>
      <w:r w:rsidRPr="00DE1A3A">
        <w:rPr>
          <w:rFonts w:ascii="Arial Narrow" w:hAnsi="Arial Narrow" w:cstheme="minorBidi"/>
          <w:color w:val="auto"/>
        </w:rPr>
        <w:t xml:space="preserve">relatórios </w:t>
      </w:r>
      <w:proofErr w:type="spellStart"/>
      <w:r w:rsidRPr="00DE1A3A">
        <w:rPr>
          <w:rFonts w:ascii="Arial Narrow" w:hAnsi="Arial Narrow" w:cstheme="minorBidi"/>
          <w:color w:val="auto"/>
        </w:rPr>
        <w:t>pré</w:t>
      </w:r>
      <w:proofErr w:type="spellEnd"/>
      <w:r w:rsidRPr="00DE1A3A">
        <w:rPr>
          <w:rFonts w:ascii="Arial Narrow" w:hAnsi="Arial Narrow" w:cstheme="minorBidi"/>
          <w:color w:val="auto"/>
        </w:rPr>
        <w:t>-configurados, sem qualquer custo adicional;"), para solução que utilizada padrões de consulta de</w:t>
      </w:r>
      <w:r w:rsidR="00C23338" w:rsidRPr="00DE1A3A">
        <w:rPr>
          <w:rFonts w:ascii="Arial Narrow" w:hAnsi="Arial Narrow" w:cstheme="minorBidi"/>
          <w:color w:val="auto"/>
        </w:rPr>
        <w:t xml:space="preserve"> </w:t>
      </w:r>
      <w:r w:rsidRPr="00DE1A3A">
        <w:rPr>
          <w:rFonts w:ascii="Arial Narrow" w:hAnsi="Arial Narrow" w:cstheme="minorBidi"/>
          <w:color w:val="auto"/>
        </w:rPr>
        <w:t xml:space="preserve">dados, entendemos que o termo relatório pode ser associado à consulta </w:t>
      </w:r>
      <w:proofErr w:type="spellStart"/>
      <w:r w:rsidRPr="00DE1A3A">
        <w:rPr>
          <w:rFonts w:ascii="Arial Narrow" w:hAnsi="Arial Narrow" w:cstheme="minorBidi"/>
          <w:color w:val="auto"/>
        </w:rPr>
        <w:t>pré</w:t>
      </w:r>
      <w:proofErr w:type="spellEnd"/>
      <w:r w:rsidRPr="00DE1A3A">
        <w:rPr>
          <w:rFonts w:ascii="Arial Narrow" w:hAnsi="Arial Narrow" w:cstheme="minorBidi"/>
          <w:color w:val="auto"/>
        </w:rPr>
        <w:t>-configuradas, desde que essas</w:t>
      </w:r>
      <w:r w:rsidR="00C23338" w:rsidRPr="00DE1A3A">
        <w:rPr>
          <w:rFonts w:ascii="Arial Narrow" w:hAnsi="Arial Narrow" w:cstheme="minorBidi"/>
          <w:color w:val="auto"/>
        </w:rPr>
        <w:t xml:space="preserve"> </w:t>
      </w:r>
      <w:r w:rsidRPr="00DE1A3A">
        <w:rPr>
          <w:rFonts w:ascii="Arial Narrow" w:hAnsi="Arial Narrow" w:cstheme="minorBidi"/>
          <w:color w:val="auto"/>
        </w:rPr>
        <w:t>possam ser utilizada em relatórios e sem qualquer custo adicional. Está correto o entendimento?</w:t>
      </w:r>
    </w:p>
    <w:p w14:paraId="6DCC9AE6" w14:textId="337F6464" w:rsidR="00BA516F" w:rsidRPr="00DE1A3A" w:rsidRDefault="00BA516F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Não está correto</w:t>
      </w:r>
      <w:r w:rsidRPr="00DE1A3A">
        <w:rPr>
          <w:rFonts w:ascii="Arial Narrow" w:hAnsi="Arial Narrow"/>
          <w:color w:val="auto"/>
        </w:rPr>
        <w:t xml:space="preserve">. Salvo se a arquitetura do fabricante considere queries como </w:t>
      </w:r>
      <w:proofErr w:type="spellStart"/>
      <w:r w:rsidRPr="00DE1A3A">
        <w:rPr>
          <w:rFonts w:ascii="Arial Narrow" w:hAnsi="Arial Narrow"/>
          <w:color w:val="auto"/>
        </w:rPr>
        <w:t>reports</w:t>
      </w:r>
      <w:proofErr w:type="spellEnd"/>
      <w:r w:rsidRPr="00DE1A3A">
        <w:rPr>
          <w:rFonts w:ascii="Arial Narrow" w:hAnsi="Arial Narrow"/>
          <w:color w:val="auto"/>
        </w:rPr>
        <w:t>, são definições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totalmente distintas. Se for o caso, a licitante deverá comprovar o atendimento ao item.</w:t>
      </w:r>
    </w:p>
    <w:p w14:paraId="5D5F48C9" w14:textId="222486BD" w:rsidR="00BA516F" w:rsidRPr="00DE1A3A" w:rsidRDefault="00BA516F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23: Relacionado ao item 2.164. ("Suportar regras predefinidas de DLP para números de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identidade nacionais/internacionais, dados de cartão de crédito, dados de endereço, informações pessoais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identificáveis (PII) e informações sobre saúde;"), fornecedores de soluções de NGFW não desenvolvidos no Brasil</w:t>
      </w:r>
      <w:r w:rsidR="00C23338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e recomendados por entidades como NSS </w:t>
      </w:r>
      <w:proofErr w:type="spellStart"/>
      <w:r w:rsidRPr="00DE1A3A">
        <w:rPr>
          <w:rFonts w:ascii="Arial Narrow" w:hAnsi="Arial Narrow"/>
          <w:color w:val="auto"/>
        </w:rPr>
        <w:t>Labs</w:t>
      </w:r>
      <w:proofErr w:type="spellEnd"/>
      <w:r w:rsidRPr="00DE1A3A">
        <w:rPr>
          <w:rFonts w:ascii="Arial Narrow" w:hAnsi="Arial Narrow"/>
          <w:color w:val="auto"/>
        </w:rPr>
        <w:t xml:space="preserve"> podem não possuir regras predefinidas de dados padrão brasileiro.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Desta forma, entendemos que a solução deverá fornecer características para essa customização, através de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padrões literais bem como através de expressões regulares permitindo assim maior flexibilidade nas definições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dos atributos. Está correto o entendimento?</w:t>
      </w:r>
    </w:p>
    <w:p w14:paraId="2B784221" w14:textId="6E51D314" w:rsidR="00BA516F" w:rsidRPr="00DE1A3A" w:rsidRDefault="00BA516F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 xml:space="preserve">Sim, está correto. </w:t>
      </w:r>
      <w:r w:rsidRPr="00DE1A3A">
        <w:rPr>
          <w:rFonts w:ascii="Arial Narrow" w:hAnsi="Arial Narrow"/>
          <w:color w:val="auto"/>
        </w:rPr>
        <w:t>O fabricante é livre para definir técnica utilizada para atender a especificação dos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requisitos técnicos, desde que os atenda. </w:t>
      </w:r>
    </w:p>
    <w:p w14:paraId="3F8DB02C" w14:textId="417A5BE6" w:rsidR="00BA516F" w:rsidRPr="00DE1A3A" w:rsidRDefault="00BA516F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lastRenderedPageBreak/>
        <w:t>QUESTIONAMENTO</w:t>
      </w:r>
      <w:r w:rsidRPr="00DE1A3A">
        <w:rPr>
          <w:rFonts w:ascii="Arial Narrow" w:hAnsi="Arial Narrow"/>
          <w:color w:val="auto"/>
        </w:rPr>
        <w:t xml:space="preserve"> 24: Em análise ao valor estimado e demais características do Edital, para fins de maior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aderência de competidores, entendemos que o item 2.169.("Suportar emulação completa de sistema para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 xml:space="preserve">detectar malware avançado durante o tempo de execução da execução em uma Next </w:t>
      </w:r>
      <w:proofErr w:type="spellStart"/>
      <w:r w:rsidRPr="00DE1A3A">
        <w:rPr>
          <w:rFonts w:ascii="Arial Narrow" w:hAnsi="Arial Narrow"/>
          <w:color w:val="auto"/>
        </w:rPr>
        <w:t>Generation</w:t>
      </w:r>
      <w:proofErr w:type="spellEnd"/>
      <w:r w:rsidRPr="00DE1A3A">
        <w:rPr>
          <w:rFonts w:ascii="Arial Narrow" w:hAnsi="Arial Narrow"/>
          <w:color w:val="auto"/>
        </w:rPr>
        <w:t xml:space="preserve"> </w:t>
      </w:r>
      <w:proofErr w:type="spellStart"/>
      <w:r w:rsidRPr="00DE1A3A">
        <w:rPr>
          <w:rFonts w:ascii="Arial Narrow" w:hAnsi="Arial Narrow"/>
          <w:color w:val="auto"/>
        </w:rPr>
        <w:t>Sandbox</w:t>
      </w:r>
      <w:proofErr w:type="spellEnd"/>
      <w:r w:rsidRPr="00DE1A3A">
        <w:rPr>
          <w:rFonts w:ascii="Arial Narrow" w:hAnsi="Arial Narrow"/>
          <w:color w:val="auto"/>
        </w:rPr>
        <w:t xml:space="preserve"> na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nuvem para, no mínimo, 25 artefatos simultâneos;") está atendido com 14.400 artefatos/dia, correto?</w:t>
      </w:r>
    </w:p>
    <w:p w14:paraId="39AC6D10" w14:textId="2259ADF9" w:rsidR="00BA516F" w:rsidRPr="00DE1A3A" w:rsidRDefault="00BA516F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>Não está correto</w:t>
      </w:r>
      <w:r w:rsidRPr="00DE1A3A">
        <w:rPr>
          <w:rFonts w:ascii="Arial Narrow" w:hAnsi="Arial Narrow"/>
          <w:color w:val="auto"/>
        </w:rPr>
        <w:t>. São unidades diferentes. 25 artefatos simultâneos são processados em paralelo, ao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mesmo tempo. Lidar com "artefatos/dia" não indica qualquer informação sobre quantitativo de artefatos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processados simultaneamente, apenas apresenta a vazão diária máxima.</w:t>
      </w:r>
    </w:p>
    <w:p w14:paraId="26E0D9ED" w14:textId="6573E6D2" w:rsidR="00BA516F" w:rsidRPr="00DE1A3A" w:rsidRDefault="00BA516F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25: Em análise ao valor estimado e demais características do Edital, para fins de maior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aderência de competidores, sugerimos as alterações a seguir: 2.41. Possuir no firewall de perfil 1: de 2.41.2.("</w:t>
      </w:r>
      <w:proofErr w:type="spellStart"/>
      <w:r w:rsidRPr="00DE1A3A">
        <w:rPr>
          <w:rFonts w:ascii="Arial Narrow" w:hAnsi="Arial Narrow"/>
          <w:color w:val="auto"/>
        </w:rPr>
        <w:t>Throughput</w:t>
      </w:r>
      <w:proofErr w:type="spellEnd"/>
      <w:r w:rsidRPr="00DE1A3A">
        <w:rPr>
          <w:rFonts w:ascii="Arial Narrow" w:hAnsi="Arial Narrow"/>
          <w:color w:val="auto"/>
        </w:rPr>
        <w:t xml:space="preserve"> de 4 </w:t>
      </w:r>
      <w:proofErr w:type="spellStart"/>
      <w:r w:rsidRPr="00DE1A3A">
        <w:rPr>
          <w:rFonts w:ascii="Arial Narrow" w:hAnsi="Arial Narrow"/>
          <w:color w:val="auto"/>
        </w:rPr>
        <w:t>Gbps</w:t>
      </w:r>
      <w:proofErr w:type="spellEnd"/>
      <w:r w:rsidRPr="00DE1A3A">
        <w:rPr>
          <w:rFonts w:ascii="Arial Narrow" w:hAnsi="Arial Narrow"/>
          <w:color w:val="auto"/>
        </w:rPr>
        <w:t xml:space="preserve"> para IPS;") para 2.6 </w:t>
      </w:r>
      <w:proofErr w:type="spellStart"/>
      <w:r w:rsidRPr="00DE1A3A">
        <w:rPr>
          <w:rFonts w:ascii="Arial Narrow" w:hAnsi="Arial Narrow"/>
          <w:color w:val="auto"/>
        </w:rPr>
        <w:t>Gbps</w:t>
      </w:r>
      <w:proofErr w:type="spellEnd"/>
      <w:r w:rsidRPr="00DE1A3A">
        <w:rPr>
          <w:rFonts w:ascii="Arial Narrow" w:hAnsi="Arial Narrow"/>
          <w:color w:val="auto"/>
        </w:rPr>
        <w:t>, de 2.41.3. ("</w:t>
      </w:r>
      <w:proofErr w:type="spellStart"/>
      <w:r w:rsidRPr="00DE1A3A">
        <w:rPr>
          <w:rFonts w:ascii="Arial Narrow" w:hAnsi="Arial Narrow"/>
          <w:color w:val="auto"/>
        </w:rPr>
        <w:t>Throughput</w:t>
      </w:r>
      <w:proofErr w:type="spellEnd"/>
      <w:r w:rsidRPr="00DE1A3A">
        <w:rPr>
          <w:rFonts w:ascii="Arial Narrow" w:hAnsi="Arial Narrow"/>
          <w:color w:val="auto"/>
        </w:rPr>
        <w:t xml:space="preserve"> de 3 </w:t>
      </w:r>
      <w:proofErr w:type="spellStart"/>
      <w:r w:rsidRPr="00DE1A3A">
        <w:rPr>
          <w:rFonts w:ascii="Arial Narrow" w:hAnsi="Arial Narrow"/>
          <w:color w:val="auto"/>
        </w:rPr>
        <w:t>Gbps</w:t>
      </w:r>
      <w:proofErr w:type="spellEnd"/>
      <w:r w:rsidRPr="00DE1A3A">
        <w:rPr>
          <w:rFonts w:ascii="Arial Narrow" w:hAnsi="Arial Narrow"/>
          <w:color w:val="auto"/>
        </w:rPr>
        <w:t xml:space="preserve"> para UTM (</w:t>
      </w:r>
      <w:proofErr w:type="spellStart"/>
      <w:r w:rsidRPr="00DE1A3A">
        <w:rPr>
          <w:rFonts w:ascii="Arial Narrow" w:hAnsi="Arial Narrow"/>
          <w:color w:val="auto"/>
        </w:rPr>
        <w:t>combinandoAV</w:t>
      </w:r>
      <w:proofErr w:type="spellEnd"/>
      <w:r w:rsidRPr="00DE1A3A">
        <w:rPr>
          <w:rFonts w:ascii="Arial Narrow" w:hAnsi="Arial Narrow"/>
          <w:color w:val="auto"/>
        </w:rPr>
        <w:t xml:space="preserve">, VPN, firewall, Web </w:t>
      </w:r>
      <w:proofErr w:type="spellStart"/>
      <w:r w:rsidRPr="00DE1A3A">
        <w:rPr>
          <w:rFonts w:ascii="Arial Narrow" w:hAnsi="Arial Narrow"/>
          <w:color w:val="auto"/>
        </w:rPr>
        <w:t>Filter</w:t>
      </w:r>
      <w:proofErr w:type="spellEnd"/>
      <w:r w:rsidRPr="00DE1A3A">
        <w:rPr>
          <w:rFonts w:ascii="Arial Narrow" w:hAnsi="Arial Narrow"/>
          <w:color w:val="auto"/>
        </w:rPr>
        <w:t xml:space="preserve"> com </w:t>
      </w:r>
      <w:proofErr w:type="spellStart"/>
      <w:r w:rsidRPr="00DE1A3A">
        <w:rPr>
          <w:rFonts w:ascii="Arial Narrow" w:hAnsi="Arial Narrow"/>
          <w:color w:val="auto"/>
        </w:rPr>
        <w:t>deep</w:t>
      </w:r>
      <w:proofErr w:type="spellEnd"/>
      <w:r w:rsidRPr="00DE1A3A">
        <w:rPr>
          <w:rFonts w:ascii="Arial Narrow" w:hAnsi="Arial Narrow"/>
          <w:color w:val="auto"/>
        </w:rPr>
        <w:t xml:space="preserve"> </w:t>
      </w:r>
      <w:proofErr w:type="spellStart"/>
      <w:r w:rsidRPr="00DE1A3A">
        <w:rPr>
          <w:rFonts w:ascii="Arial Narrow" w:hAnsi="Arial Narrow"/>
          <w:color w:val="auto"/>
        </w:rPr>
        <w:t>inspection</w:t>
      </w:r>
      <w:proofErr w:type="spellEnd"/>
      <w:r w:rsidRPr="00DE1A3A">
        <w:rPr>
          <w:rFonts w:ascii="Arial Narrow" w:hAnsi="Arial Narrow"/>
          <w:color w:val="auto"/>
        </w:rPr>
        <w:t xml:space="preserve">, </w:t>
      </w:r>
      <w:proofErr w:type="spellStart"/>
      <w:r w:rsidRPr="00DE1A3A">
        <w:rPr>
          <w:rFonts w:ascii="Arial Narrow" w:hAnsi="Arial Narrow"/>
          <w:color w:val="auto"/>
        </w:rPr>
        <w:t>antispam</w:t>
      </w:r>
      <w:proofErr w:type="spellEnd"/>
      <w:r w:rsidRPr="00DE1A3A">
        <w:rPr>
          <w:rFonts w:ascii="Arial Narrow" w:hAnsi="Arial Narrow"/>
          <w:color w:val="auto"/>
        </w:rPr>
        <w:t xml:space="preserve"> e IPS)") para 1Gbps e de 2.41.4. ("Suportar3.500.000 conexões simultâneas") para 1.500.000 conexões simultâneas.</w:t>
      </w:r>
    </w:p>
    <w:p w14:paraId="1B152E25" w14:textId="2A6AFD6D" w:rsidR="00BA516F" w:rsidRPr="00DE1A3A" w:rsidRDefault="00BA516F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 xml:space="preserve">Não será acatado. </w:t>
      </w:r>
      <w:r w:rsidRPr="00DE1A3A">
        <w:rPr>
          <w:rFonts w:ascii="Arial Narrow" w:hAnsi="Arial Narrow"/>
          <w:color w:val="auto"/>
        </w:rPr>
        <w:t>As unidades para dimensionamento dos firewalls foi definida e há diversos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fabricantes que lidam com elas, ou sabem convertê-las para outras.</w:t>
      </w:r>
    </w:p>
    <w:p w14:paraId="1697FB24" w14:textId="65891117" w:rsidR="00BA516F" w:rsidRPr="00DE1A3A" w:rsidRDefault="00BA516F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  <w:color w:val="auto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QUESTIONAMENTO</w:t>
      </w:r>
      <w:r w:rsidRPr="00DE1A3A">
        <w:rPr>
          <w:rFonts w:ascii="Arial Narrow" w:hAnsi="Arial Narrow"/>
          <w:color w:val="auto"/>
        </w:rPr>
        <w:t xml:space="preserve"> 26: É necessária a apresentação de certificado de técnicos na solução apresentada, na fase de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habilitação, correto?</w:t>
      </w:r>
    </w:p>
    <w:p w14:paraId="747798F8" w14:textId="0E0B81EB" w:rsidR="00BA516F" w:rsidRPr="00DE1A3A" w:rsidRDefault="00BA516F" w:rsidP="00BA516F">
      <w:pPr>
        <w:pStyle w:val="Default"/>
        <w:spacing w:before="120" w:after="120" w:line="360" w:lineRule="auto"/>
        <w:ind w:left="-993" w:right="-1135"/>
        <w:jc w:val="both"/>
        <w:rPr>
          <w:rFonts w:ascii="Arial Narrow" w:hAnsi="Arial Narrow"/>
        </w:rPr>
      </w:pPr>
      <w:r w:rsidRPr="00DE1A3A">
        <w:rPr>
          <w:rFonts w:ascii="Arial Narrow" w:hAnsi="Arial Narrow"/>
          <w:b/>
          <w:bCs/>
          <w:color w:val="auto"/>
          <w:u w:val="single"/>
        </w:rPr>
        <w:t>Resposta</w:t>
      </w:r>
      <w:r w:rsidRPr="00DE1A3A">
        <w:rPr>
          <w:rFonts w:ascii="Arial Narrow" w:hAnsi="Arial Narrow"/>
          <w:color w:val="auto"/>
        </w:rPr>
        <w:t xml:space="preserve">: </w:t>
      </w:r>
      <w:r w:rsidRPr="00DE1A3A">
        <w:rPr>
          <w:rFonts w:ascii="Arial Narrow" w:hAnsi="Arial Narrow"/>
          <w:b/>
          <w:bCs/>
          <w:color w:val="auto"/>
        </w:rPr>
        <w:t xml:space="preserve">Sim, está correto. </w:t>
      </w:r>
      <w:r w:rsidRPr="00DE1A3A">
        <w:rPr>
          <w:rFonts w:ascii="Arial Narrow" w:hAnsi="Arial Narrow"/>
          <w:color w:val="auto"/>
        </w:rPr>
        <w:t>Está descrito no item 4.8.2. do Termo de Referência: "Os serviços de instalação e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configuração devem ser executados por técnicos da futura contratada, certificados pelo fabricante dos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equipamentos fornecidos, sendo necessária a apresentação de documentação original que comprove a validade</w:t>
      </w:r>
      <w:r w:rsidR="00DE1A3A" w:rsidRPr="00DE1A3A">
        <w:rPr>
          <w:rFonts w:ascii="Arial Narrow" w:hAnsi="Arial Narrow"/>
          <w:color w:val="auto"/>
        </w:rPr>
        <w:t xml:space="preserve"> </w:t>
      </w:r>
      <w:r w:rsidRPr="00DE1A3A">
        <w:rPr>
          <w:rFonts w:ascii="Arial Narrow" w:hAnsi="Arial Narrow"/>
          <w:color w:val="auto"/>
        </w:rPr>
        <w:t>desta(s) certificação(</w:t>
      </w:r>
      <w:proofErr w:type="spellStart"/>
      <w:r w:rsidRPr="00DE1A3A">
        <w:rPr>
          <w:rFonts w:ascii="Arial Narrow" w:hAnsi="Arial Narrow"/>
          <w:color w:val="auto"/>
        </w:rPr>
        <w:t>ões</w:t>
      </w:r>
      <w:proofErr w:type="spellEnd"/>
      <w:r w:rsidRPr="00DE1A3A">
        <w:rPr>
          <w:rFonts w:ascii="Arial Narrow" w:hAnsi="Arial Narrow"/>
          <w:color w:val="auto"/>
        </w:rPr>
        <w:t>), que pode ser solicitada a qualquer momento;"</w:t>
      </w:r>
    </w:p>
    <w:sectPr w:rsidR="00BA516F" w:rsidRPr="00DE1A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7E3"/>
    <w:rsid w:val="002E3ECA"/>
    <w:rsid w:val="00335CDC"/>
    <w:rsid w:val="003D07E3"/>
    <w:rsid w:val="00681278"/>
    <w:rsid w:val="009916D6"/>
    <w:rsid w:val="00AA7CC5"/>
    <w:rsid w:val="00BA516F"/>
    <w:rsid w:val="00C068D0"/>
    <w:rsid w:val="00C23338"/>
    <w:rsid w:val="00DE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A669A"/>
  <w15:chartTrackingRefBased/>
  <w15:docId w15:val="{6A264346-D355-401C-8A57-5AE0F1CD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Theme="minorHAnsi" w:hAnsi="Arial Narrow" w:cstheme="minorBidi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D07E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2017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Ornel Costa de Azevedo</dc:creator>
  <cp:keywords/>
  <dc:description/>
  <cp:lastModifiedBy>Ornel Costa de Azevedo</cp:lastModifiedBy>
  <cp:revision>3</cp:revision>
  <dcterms:created xsi:type="dcterms:W3CDTF">2020-10-05T12:20:00Z</dcterms:created>
  <dcterms:modified xsi:type="dcterms:W3CDTF">2020-10-05T14:37:00Z</dcterms:modified>
</cp:coreProperties>
</file>